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04A" w:rsidRPr="0080704A" w:rsidRDefault="0080704A" w:rsidP="0080704A">
      <w:pPr>
        <w:spacing w:after="0" w:line="240" w:lineRule="auto"/>
        <w:rPr>
          <w:rFonts w:ascii="Times New Roman" w:eastAsia="Times New Roman" w:hAnsi="Times New Roman" w:cs="Times New Roman"/>
          <w:noProof/>
          <w:sz w:val="24"/>
          <w:szCs w:val="24"/>
        </w:rPr>
      </w:pPr>
      <w:permStart w:id="0" w:edGrp="everyone"/>
      <w:permEnd w:id="0"/>
      <w:r w:rsidRPr="0080704A">
        <w:rPr>
          <w:rFonts w:ascii="Times New Roman" w:eastAsia="Times New Roman" w:hAnsi="Times New Roman" w:cs="Times New Roman"/>
          <w:noProof/>
          <w:sz w:val="24"/>
          <w:szCs w:val="24"/>
        </w:rPr>
        <w:t>21 January 2015, 3.52am GMT</w:t>
      </w:r>
    </w:p>
    <w:p w:rsidR="0080704A" w:rsidRPr="0080704A" w:rsidRDefault="0080704A" w:rsidP="0080704A">
      <w:pPr>
        <w:spacing w:after="270" w:line="240" w:lineRule="auto"/>
        <w:ind w:right="300"/>
        <w:textAlignment w:val="baseline"/>
        <w:outlineLvl w:val="0"/>
        <w:rPr>
          <w:rFonts w:ascii="Times New Roman" w:eastAsia="Times New Roman" w:hAnsi="Times New Roman" w:cs="Times New Roman"/>
          <w:b/>
          <w:bCs/>
          <w:noProof/>
          <w:color w:val="000000"/>
          <w:spacing w:val="-6"/>
          <w:kern w:val="36"/>
          <w:sz w:val="48"/>
          <w:szCs w:val="48"/>
        </w:rPr>
      </w:pPr>
      <w:r w:rsidRPr="0080704A">
        <w:rPr>
          <w:rFonts w:ascii="Times New Roman" w:eastAsia="Times New Roman" w:hAnsi="Times New Roman" w:cs="Times New Roman"/>
          <w:b/>
          <w:bCs/>
          <w:noProof/>
          <w:color w:val="000000"/>
          <w:spacing w:val="-6"/>
          <w:kern w:val="36"/>
          <w:sz w:val="48"/>
          <w:szCs w:val="48"/>
        </w:rPr>
        <w:t>Cashing in on hope: stem cell tourism risks arrive in our own backyard</w:t>
      </w:r>
    </w:p>
    <w:p w:rsidR="0080704A" w:rsidRPr="0080704A" w:rsidRDefault="0080704A" w:rsidP="0080704A">
      <w:pPr>
        <w:spacing w:after="150" w:line="240" w:lineRule="auto"/>
        <w:textAlignment w:val="baseline"/>
        <w:outlineLvl w:val="3"/>
        <w:rPr>
          <w:rFonts w:ascii="Times New Roman" w:eastAsia="Times New Roman" w:hAnsi="Times New Roman" w:cs="Times New Roman"/>
          <w:b/>
          <w:bCs/>
          <w:caps/>
          <w:noProof/>
          <w:color w:val="333333"/>
          <w:spacing w:val="29"/>
          <w:sz w:val="15"/>
          <w:szCs w:val="15"/>
        </w:rPr>
      </w:pPr>
      <w:r w:rsidRPr="0080704A">
        <w:rPr>
          <w:rFonts w:ascii="Times New Roman" w:eastAsia="Times New Roman" w:hAnsi="Times New Roman" w:cs="Times New Roman"/>
          <w:b/>
          <w:bCs/>
          <w:caps/>
          <w:noProof/>
          <w:color w:val="333333"/>
          <w:spacing w:val="29"/>
          <w:sz w:val="15"/>
          <w:szCs w:val="15"/>
        </w:rPr>
        <w:t>AUTHORS</w:t>
      </w:r>
    </w:p>
    <w:p w:rsidR="0080704A" w:rsidRPr="0080704A" w:rsidRDefault="005B62DE" w:rsidP="0080704A">
      <w:pPr>
        <w:numPr>
          <w:ilvl w:val="0"/>
          <w:numId w:val="1"/>
        </w:numPr>
        <w:spacing w:after="180" w:line="240" w:lineRule="auto"/>
        <w:ind w:left="0"/>
        <w:textAlignment w:val="baseline"/>
        <w:rPr>
          <w:rFonts w:ascii="Times New Roman" w:eastAsia="Times New Roman" w:hAnsi="Times New Roman" w:cs="Times New Roman"/>
          <w:noProof/>
          <w:color w:val="557585"/>
          <w:sz w:val="24"/>
          <w:szCs w:val="24"/>
        </w:rPr>
      </w:pPr>
      <w:r w:rsidRPr="0080704A">
        <w:rPr>
          <w:rFonts w:ascii="Times New Roman" w:eastAsia="Times New Roman" w:hAnsi="Times New Roman" w:cs="Times New Roman"/>
          <w:noProof/>
          <w:sz w:val="15"/>
          <w:szCs w:val="15"/>
        </w:rPr>
        <w:fldChar w:fldCharType="begin"/>
      </w:r>
      <w:r w:rsidR="0080704A" w:rsidRPr="0080704A">
        <w:rPr>
          <w:rFonts w:ascii="Times New Roman" w:eastAsia="Times New Roman" w:hAnsi="Times New Roman" w:cs="Times New Roman"/>
          <w:noProof/>
          <w:sz w:val="15"/>
          <w:szCs w:val="15"/>
        </w:rPr>
        <w:instrText xml:space="preserve"> HYPERLINK "http://theconversation.com/profiles/megan-munsie-756" </w:instrText>
      </w:r>
      <w:r w:rsidRPr="0080704A">
        <w:rPr>
          <w:rFonts w:ascii="Times New Roman" w:eastAsia="Times New Roman" w:hAnsi="Times New Roman" w:cs="Times New Roman"/>
          <w:noProof/>
          <w:sz w:val="15"/>
          <w:szCs w:val="15"/>
        </w:rPr>
        <w:fldChar w:fldCharType="separate"/>
      </w:r>
      <w:r w:rsidR="0080704A" w:rsidRPr="0080704A">
        <w:rPr>
          <w:rFonts w:ascii="Times New Roman" w:eastAsia="Times New Roman" w:hAnsi="Times New Roman" w:cs="Times New Roman"/>
          <w:noProof/>
          <w:color w:val="557585"/>
          <w:sz w:val="15"/>
          <w:szCs w:val="15"/>
        </w:rPr>
        <w:drawing>
          <wp:inline distT="0" distB="0" distL="0" distR="0">
            <wp:extent cx="514350" cy="514350"/>
            <wp:effectExtent l="19050" t="0" r="0" b="0"/>
            <wp:docPr id="1" name="Picture 1" descr="https://62e528761d0685343e1c-f3d1b99a743ffa4142d9d7f1978d9686.ssl.cf2.rackcdn.com/avatars/756/thumb54/megan-munsie-130328415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62e528761d0685343e1c-f3d1b99a743ffa4142d9d7f1978d9686.ssl.cf2.rackcdn.com/avatars/756/thumb54/megan-munsie-1303284159.jpg">
                      <a:hlinkClick r:id="rId5"/>
                    </pic:cNvPr>
                    <pic:cNvPicPr>
                      <a:picLocks noChangeAspect="1" noChangeArrowheads="1"/>
                    </pic:cNvPicPr>
                  </pic:nvPicPr>
                  <pic:blipFill>
                    <a:blip r:embed="rId6"/>
                    <a:srcRect/>
                    <a:stretch>
                      <a:fillRect/>
                    </a:stretch>
                  </pic:blipFill>
                  <pic:spPr bwMode="auto">
                    <a:xfrm>
                      <a:off x="0" y="0"/>
                      <a:ext cx="514350" cy="514350"/>
                    </a:xfrm>
                    <a:prstGeom prst="rect">
                      <a:avLst/>
                    </a:prstGeom>
                    <a:noFill/>
                    <a:ln w="9525">
                      <a:noFill/>
                      <a:miter lim="800000"/>
                      <a:headEnd/>
                      <a:tailEnd/>
                    </a:ln>
                  </pic:spPr>
                </pic:pic>
              </a:graphicData>
            </a:graphic>
          </wp:inline>
        </w:drawing>
      </w:r>
    </w:p>
    <w:p w:rsidR="0080704A" w:rsidRPr="0080704A" w:rsidRDefault="0080704A" w:rsidP="0080704A">
      <w:pPr>
        <w:spacing w:after="0" w:line="270" w:lineRule="atLeast"/>
        <w:textAlignment w:val="baseline"/>
        <w:outlineLvl w:val="2"/>
        <w:rPr>
          <w:rFonts w:ascii="Times New Roman" w:eastAsia="Times New Roman" w:hAnsi="Times New Roman" w:cs="Times New Roman"/>
          <w:b/>
          <w:bCs/>
          <w:noProof/>
          <w:color w:val="006699"/>
          <w:sz w:val="18"/>
          <w:szCs w:val="18"/>
        </w:rPr>
      </w:pPr>
      <w:r w:rsidRPr="0080704A">
        <w:rPr>
          <w:rFonts w:ascii="Times New Roman" w:eastAsia="Times New Roman" w:hAnsi="Times New Roman" w:cs="Times New Roman"/>
          <w:b/>
          <w:bCs/>
          <w:noProof/>
          <w:color w:val="006699"/>
          <w:sz w:val="18"/>
          <w:szCs w:val="18"/>
          <w:bdr w:val="none" w:sz="0" w:space="0" w:color="auto" w:frame="1"/>
        </w:rPr>
        <w:t>Megan Munsie</w:t>
      </w:r>
    </w:p>
    <w:p w:rsidR="0080704A" w:rsidRPr="0080704A" w:rsidRDefault="005B62DE" w:rsidP="0080704A">
      <w:pPr>
        <w:spacing w:after="0" w:line="240" w:lineRule="auto"/>
        <w:textAlignment w:val="baseline"/>
        <w:rPr>
          <w:rFonts w:ascii="Times New Roman" w:eastAsia="Times New Roman" w:hAnsi="Times New Roman" w:cs="Times New Roman"/>
          <w:noProof/>
          <w:sz w:val="15"/>
          <w:szCs w:val="15"/>
        </w:rPr>
      </w:pPr>
      <w:r w:rsidRPr="0080704A">
        <w:rPr>
          <w:rFonts w:ascii="Times New Roman" w:eastAsia="Times New Roman" w:hAnsi="Times New Roman" w:cs="Times New Roman"/>
          <w:noProof/>
          <w:sz w:val="15"/>
          <w:szCs w:val="15"/>
        </w:rPr>
        <w:fldChar w:fldCharType="end"/>
      </w:r>
    </w:p>
    <w:p w:rsidR="0080704A" w:rsidRPr="0080704A" w:rsidRDefault="0080704A" w:rsidP="0080704A">
      <w:pPr>
        <w:spacing w:after="0" w:line="270" w:lineRule="atLeast"/>
        <w:textAlignment w:val="baseline"/>
        <w:rPr>
          <w:rFonts w:ascii="Times New Roman" w:eastAsia="Times New Roman" w:hAnsi="Times New Roman" w:cs="Times New Roman"/>
          <w:noProof/>
          <w:color w:val="727272"/>
          <w:sz w:val="17"/>
          <w:szCs w:val="17"/>
        </w:rPr>
      </w:pPr>
      <w:r w:rsidRPr="0080704A">
        <w:rPr>
          <w:rFonts w:ascii="Times New Roman" w:eastAsia="Times New Roman" w:hAnsi="Times New Roman" w:cs="Times New Roman"/>
          <w:noProof/>
          <w:color w:val="727272"/>
          <w:sz w:val="17"/>
        </w:rPr>
        <w:t>Head of Education, Ethics, Law &amp; Community Awareness Unit, Stem Cells Australia at University of Melbourne</w:t>
      </w:r>
    </w:p>
    <w:p w:rsidR="0080704A" w:rsidRPr="0080704A" w:rsidRDefault="005B62DE" w:rsidP="0080704A">
      <w:pPr>
        <w:numPr>
          <w:ilvl w:val="0"/>
          <w:numId w:val="1"/>
        </w:numPr>
        <w:spacing w:after="0" w:line="240" w:lineRule="auto"/>
        <w:ind w:left="0"/>
        <w:textAlignment w:val="baseline"/>
        <w:rPr>
          <w:rFonts w:ascii="Times New Roman" w:eastAsia="Times New Roman" w:hAnsi="Times New Roman" w:cs="Times New Roman"/>
          <w:noProof/>
          <w:color w:val="557585"/>
          <w:sz w:val="15"/>
          <w:szCs w:val="15"/>
        </w:rPr>
      </w:pPr>
      <w:r w:rsidRPr="0080704A">
        <w:rPr>
          <w:rFonts w:ascii="Times New Roman" w:eastAsia="Times New Roman" w:hAnsi="Times New Roman" w:cs="Times New Roman"/>
          <w:noProof/>
          <w:sz w:val="15"/>
          <w:szCs w:val="15"/>
        </w:rPr>
        <w:fldChar w:fldCharType="begin"/>
      </w:r>
      <w:r w:rsidR="0080704A" w:rsidRPr="0080704A">
        <w:rPr>
          <w:rFonts w:ascii="Times New Roman" w:eastAsia="Times New Roman" w:hAnsi="Times New Roman" w:cs="Times New Roman"/>
          <w:noProof/>
          <w:sz w:val="15"/>
          <w:szCs w:val="15"/>
        </w:rPr>
        <w:instrText xml:space="preserve"> HYPERLINK "http://theconversation.com/profiles/martin-pera-14428" </w:instrText>
      </w:r>
      <w:r w:rsidRPr="0080704A">
        <w:rPr>
          <w:rFonts w:ascii="Times New Roman" w:eastAsia="Times New Roman" w:hAnsi="Times New Roman" w:cs="Times New Roman"/>
          <w:noProof/>
          <w:sz w:val="15"/>
          <w:szCs w:val="15"/>
        </w:rPr>
        <w:fldChar w:fldCharType="separate"/>
      </w:r>
      <w:r w:rsidR="0080704A" w:rsidRPr="0080704A">
        <w:rPr>
          <w:rFonts w:ascii="Times New Roman" w:eastAsia="Times New Roman" w:hAnsi="Times New Roman" w:cs="Times New Roman"/>
          <w:noProof/>
          <w:color w:val="557585"/>
          <w:sz w:val="15"/>
          <w:szCs w:val="15"/>
        </w:rPr>
        <w:drawing>
          <wp:inline distT="0" distB="0" distL="0" distR="0">
            <wp:extent cx="514350" cy="514350"/>
            <wp:effectExtent l="19050" t="0" r="0" b="0"/>
            <wp:docPr id="2" name="Picture 2" descr="https://62e528761d0685343e1c-f3d1b99a743ffa4142d9d7f1978d9686.ssl.cf2.rackcdn.com/avatars/14428/thumb54/39f6f6hb-1349752719.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62e528761d0685343e1c-f3d1b99a743ffa4142d9d7f1978d9686.ssl.cf2.rackcdn.com/avatars/14428/thumb54/39f6f6hb-1349752719.jpg">
                      <a:hlinkClick r:id="rId7"/>
                    </pic:cNvPr>
                    <pic:cNvPicPr>
                      <a:picLocks noChangeAspect="1" noChangeArrowheads="1"/>
                    </pic:cNvPicPr>
                  </pic:nvPicPr>
                  <pic:blipFill>
                    <a:blip r:embed="rId8"/>
                    <a:srcRect/>
                    <a:stretch>
                      <a:fillRect/>
                    </a:stretch>
                  </pic:blipFill>
                  <pic:spPr bwMode="auto">
                    <a:xfrm>
                      <a:off x="0" y="0"/>
                      <a:ext cx="514350" cy="514350"/>
                    </a:xfrm>
                    <a:prstGeom prst="rect">
                      <a:avLst/>
                    </a:prstGeom>
                    <a:noFill/>
                    <a:ln w="9525">
                      <a:noFill/>
                      <a:miter lim="800000"/>
                      <a:headEnd/>
                      <a:tailEnd/>
                    </a:ln>
                  </pic:spPr>
                </pic:pic>
              </a:graphicData>
            </a:graphic>
          </wp:inline>
        </w:drawing>
      </w:r>
    </w:p>
    <w:p w:rsidR="0080704A" w:rsidRPr="0080704A" w:rsidRDefault="0080704A" w:rsidP="0080704A">
      <w:pPr>
        <w:spacing w:after="0" w:line="270" w:lineRule="atLeast"/>
        <w:textAlignment w:val="baseline"/>
        <w:outlineLvl w:val="2"/>
        <w:rPr>
          <w:rFonts w:ascii="Times New Roman" w:eastAsia="Times New Roman" w:hAnsi="Times New Roman" w:cs="Times New Roman"/>
          <w:b/>
          <w:bCs/>
          <w:noProof/>
          <w:color w:val="006699"/>
          <w:sz w:val="18"/>
          <w:szCs w:val="18"/>
        </w:rPr>
      </w:pPr>
      <w:r w:rsidRPr="0080704A">
        <w:rPr>
          <w:rFonts w:ascii="Times New Roman" w:eastAsia="Times New Roman" w:hAnsi="Times New Roman" w:cs="Times New Roman"/>
          <w:b/>
          <w:bCs/>
          <w:noProof/>
          <w:color w:val="006699"/>
          <w:sz w:val="18"/>
          <w:szCs w:val="18"/>
          <w:bdr w:val="none" w:sz="0" w:space="0" w:color="auto" w:frame="1"/>
        </w:rPr>
        <w:t>Martin Pera</w:t>
      </w:r>
    </w:p>
    <w:p w:rsidR="0080704A" w:rsidRPr="0080704A" w:rsidRDefault="005B62DE" w:rsidP="0080704A">
      <w:pPr>
        <w:spacing w:after="0" w:line="240" w:lineRule="auto"/>
        <w:textAlignment w:val="baseline"/>
        <w:rPr>
          <w:rFonts w:ascii="Times New Roman" w:eastAsia="Times New Roman" w:hAnsi="Times New Roman" w:cs="Times New Roman"/>
          <w:noProof/>
          <w:sz w:val="15"/>
          <w:szCs w:val="15"/>
        </w:rPr>
      </w:pPr>
      <w:r w:rsidRPr="0080704A">
        <w:rPr>
          <w:rFonts w:ascii="Times New Roman" w:eastAsia="Times New Roman" w:hAnsi="Times New Roman" w:cs="Times New Roman"/>
          <w:noProof/>
          <w:sz w:val="15"/>
          <w:szCs w:val="15"/>
        </w:rPr>
        <w:fldChar w:fldCharType="end"/>
      </w:r>
    </w:p>
    <w:p w:rsidR="0080704A" w:rsidRPr="0080704A" w:rsidRDefault="0080704A" w:rsidP="0080704A">
      <w:pPr>
        <w:spacing w:after="0" w:line="270" w:lineRule="atLeast"/>
        <w:textAlignment w:val="baseline"/>
        <w:rPr>
          <w:rFonts w:ascii="Helvetica" w:eastAsia="Times New Roman" w:hAnsi="Helvetica" w:cs="Helvetica"/>
          <w:noProof/>
          <w:color w:val="383838"/>
          <w:sz w:val="15"/>
          <w:szCs w:val="15"/>
        </w:rPr>
      </w:pPr>
      <w:r w:rsidRPr="0080704A">
        <w:rPr>
          <w:rFonts w:ascii="Helvetica" w:eastAsia="Times New Roman" w:hAnsi="Helvetica" w:cs="Helvetica"/>
          <w:noProof/>
          <w:color w:val="383838"/>
          <w:sz w:val="15"/>
          <w:szCs w:val="15"/>
        </w:rPr>
        <w:drawing>
          <wp:inline distT="0" distB="0" distL="0" distR="0">
            <wp:extent cx="4352925" cy="3264694"/>
            <wp:effectExtent l="19050" t="0" r="9525" b="0"/>
            <wp:docPr id="4" name="Picture 4" descr="https://62e528761d0685343e1c-f3d1b99a743ffa4142d9d7f1978d9686.ssl.cf2.rackcdn.com/files/69589/width668/image-20150121-29751-13isuf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62e528761d0685343e1c-f3d1b99a743ffa4142d9d7f1978d9686.ssl.cf2.rackcdn.com/files/69589/width668/image-20150121-29751-13isufk.jpg"/>
                    <pic:cNvPicPr>
                      <a:picLocks noChangeAspect="1" noChangeArrowheads="1"/>
                    </pic:cNvPicPr>
                  </pic:nvPicPr>
                  <pic:blipFill>
                    <a:blip r:embed="rId9"/>
                    <a:srcRect/>
                    <a:stretch>
                      <a:fillRect/>
                    </a:stretch>
                  </pic:blipFill>
                  <pic:spPr bwMode="auto">
                    <a:xfrm>
                      <a:off x="0" y="0"/>
                      <a:ext cx="4352925" cy="3264694"/>
                    </a:xfrm>
                    <a:prstGeom prst="rect">
                      <a:avLst/>
                    </a:prstGeom>
                    <a:noFill/>
                    <a:ln w="9525">
                      <a:noFill/>
                      <a:miter lim="800000"/>
                      <a:headEnd/>
                      <a:tailEnd/>
                    </a:ln>
                  </pic:spPr>
                </pic:pic>
              </a:graphicData>
            </a:graphic>
          </wp:inline>
        </w:drawing>
      </w:r>
    </w:p>
    <w:p w:rsidR="0080704A" w:rsidRPr="0080704A" w:rsidRDefault="0080704A" w:rsidP="0080704A">
      <w:pPr>
        <w:spacing w:after="0" w:line="270" w:lineRule="atLeast"/>
        <w:textAlignment w:val="baseline"/>
        <w:rPr>
          <w:rFonts w:ascii="Helvetica" w:eastAsia="Times New Roman" w:hAnsi="Helvetica" w:cs="Helvetica"/>
          <w:noProof/>
          <w:color w:val="CCCCCC"/>
          <w:sz w:val="17"/>
          <w:u w:val="single"/>
        </w:rPr>
      </w:pPr>
      <w:r w:rsidRPr="0080704A">
        <w:rPr>
          <w:rFonts w:ascii="Helvetica" w:eastAsia="Times New Roman" w:hAnsi="Helvetica" w:cs="Helvetica"/>
          <w:noProof/>
          <w:color w:val="383838"/>
          <w:sz w:val="15"/>
          <w:szCs w:val="15"/>
        </w:rPr>
        <w:t>In Australia, the manufacturing of cells for therapy is regulated but only for donated cells.</w:t>
      </w:r>
    </w:p>
    <w:p w:rsidR="0080704A" w:rsidRPr="0080704A" w:rsidRDefault="0080704A" w:rsidP="0080704A">
      <w:pPr>
        <w:spacing w:after="0" w:line="270" w:lineRule="atLeast"/>
        <w:textAlignment w:val="baseline"/>
        <w:rPr>
          <w:rFonts w:ascii="Helvetica" w:eastAsia="Times New Roman" w:hAnsi="Helvetica" w:cs="Helvetica"/>
          <w:noProof/>
          <w:color w:val="383838"/>
          <w:sz w:val="15"/>
          <w:szCs w:val="15"/>
        </w:rPr>
      </w:pPr>
    </w:p>
    <w:p w:rsidR="0080704A" w:rsidRPr="0080704A" w:rsidRDefault="0080704A" w:rsidP="0080704A">
      <w:pPr>
        <w:spacing w:after="270" w:line="240" w:lineRule="auto"/>
        <w:textAlignment w:val="baseline"/>
        <w:rPr>
          <w:rFonts w:ascii="Helvetica" w:eastAsia="Times New Roman" w:hAnsi="Helvetica" w:cs="Helvetica"/>
          <w:noProof/>
          <w:color w:val="383838"/>
          <w:sz w:val="25"/>
          <w:szCs w:val="25"/>
        </w:rPr>
      </w:pPr>
      <w:r w:rsidRPr="0080704A">
        <w:rPr>
          <w:rFonts w:ascii="Helvetica" w:eastAsia="Times New Roman" w:hAnsi="Helvetica" w:cs="Helvetica"/>
          <w:noProof/>
          <w:color w:val="383838"/>
          <w:sz w:val="25"/>
          <w:szCs w:val="25"/>
        </w:rPr>
        <w:t>Once thought to be a problem only in poorly regulated jurisdictions overseas, unproven stem cell treatments are</w:t>
      </w:r>
      <w:r w:rsidRPr="0080704A">
        <w:rPr>
          <w:rFonts w:ascii="Helvetica" w:eastAsia="Times New Roman" w:hAnsi="Helvetica" w:cs="Helvetica"/>
          <w:noProof/>
          <w:color w:val="383838"/>
          <w:sz w:val="25"/>
        </w:rPr>
        <w:t> </w:t>
      </w:r>
      <w:hyperlink r:id="rId10" w:history="1">
        <w:r w:rsidRPr="0080704A">
          <w:rPr>
            <w:rFonts w:ascii="Helvetica" w:eastAsia="Times New Roman" w:hAnsi="Helvetica" w:cs="Helvetica"/>
            <w:b/>
            <w:bCs/>
            <w:noProof/>
            <w:color w:val="557585"/>
            <w:sz w:val="25"/>
            <w:u w:val="single"/>
          </w:rPr>
          <w:t>increasingly being offered in Australia</w:t>
        </w:r>
      </w:hyperlink>
      <w:r w:rsidRPr="0080704A">
        <w:rPr>
          <w:rFonts w:ascii="Helvetica" w:eastAsia="Times New Roman" w:hAnsi="Helvetica" w:cs="Helvetica"/>
          <w:noProof/>
          <w:color w:val="383838"/>
          <w:sz w:val="25"/>
          <w:szCs w:val="25"/>
        </w:rPr>
        <w:t>. Now, the Therapeutic Goods Administration (TGA) is</w:t>
      </w:r>
      <w:r w:rsidRPr="0080704A">
        <w:rPr>
          <w:rFonts w:ascii="Helvetica" w:eastAsia="Times New Roman" w:hAnsi="Helvetica" w:cs="Helvetica"/>
          <w:noProof/>
          <w:color w:val="383838"/>
          <w:sz w:val="25"/>
        </w:rPr>
        <w:t> </w:t>
      </w:r>
      <w:hyperlink r:id="rId11" w:history="1">
        <w:r w:rsidRPr="0080704A">
          <w:rPr>
            <w:rFonts w:ascii="Helvetica" w:eastAsia="Times New Roman" w:hAnsi="Helvetica" w:cs="Helvetica"/>
            <w:b/>
            <w:bCs/>
            <w:noProof/>
            <w:color w:val="557585"/>
            <w:sz w:val="25"/>
            <w:u w:val="single"/>
          </w:rPr>
          <w:t>holding a public consultation</w:t>
        </w:r>
      </w:hyperlink>
      <w:r w:rsidRPr="0080704A">
        <w:rPr>
          <w:rFonts w:ascii="Helvetica" w:eastAsia="Times New Roman" w:hAnsi="Helvetica" w:cs="Helvetica"/>
          <w:noProof/>
          <w:color w:val="383838"/>
          <w:sz w:val="25"/>
          <w:szCs w:val="25"/>
        </w:rPr>
        <w:t>on whether current regulation of treatments that involve using the patient’s own cells is appropriate.</w:t>
      </w:r>
    </w:p>
    <w:p w:rsidR="0080704A" w:rsidRPr="0080704A" w:rsidRDefault="0080704A" w:rsidP="0080704A">
      <w:pPr>
        <w:spacing w:after="270" w:line="240" w:lineRule="auto"/>
        <w:textAlignment w:val="baseline"/>
        <w:rPr>
          <w:rFonts w:ascii="Helvetica" w:eastAsia="Times New Roman" w:hAnsi="Helvetica" w:cs="Helvetica"/>
          <w:noProof/>
          <w:color w:val="383838"/>
          <w:sz w:val="25"/>
          <w:szCs w:val="25"/>
        </w:rPr>
      </w:pPr>
      <w:r w:rsidRPr="0080704A">
        <w:rPr>
          <w:rFonts w:ascii="Helvetica" w:eastAsia="Times New Roman" w:hAnsi="Helvetica" w:cs="Helvetica"/>
          <w:noProof/>
          <w:color w:val="383838"/>
          <w:sz w:val="25"/>
          <w:szCs w:val="25"/>
        </w:rPr>
        <w:t xml:space="preserve">Stem cell science has captured the public’s imagination. The possibility that we can replace or repair damaged cells seems an obvious and relatively straightforward </w:t>
      </w:r>
      <w:r w:rsidRPr="0080704A">
        <w:rPr>
          <w:rFonts w:ascii="Helvetica" w:eastAsia="Times New Roman" w:hAnsi="Helvetica" w:cs="Helvetica"/>
          <w:noProof/>
          <w:color w:val="383838"/>
          <w:sz w:val="25"/>
          <w:szCs w:val="25"/>
        </w:rPr>
        <w:lastRenderedPageBreak/>
        <w:t>procedure. In some cases it is. People with leukaemia and other diseases of the blood system, for instance, have benefited from blood stem cell transplants for many decades.</w:t>
      </w:r>
    </w:p>
    <w:p w:rsidR="0080704A" w:rsidRPr="0080704A" w:rsidRDefault="0080704A" w:rsidP="0080704A">
      <w:pPr>
        <w:spacing w:after="270" w:line="240" w:lineRule="auto"/>
        <w:textAlignment w:val="baseline"/>
        <w:rPr>
          <w:rFonts w:ascii="Helvetica" w:eastAsia="Times New Roman" w:hAnsi="Helvetica" w:cs="Helvetica"/>
          <w:noProof/>
          <w:color w:val="383838"/>
          <w:sz w:val="25"/>
          <w:szCs w:val="25"/>
        </w:rPr>
      </w:pPr>
      <w:r w:rsidRPr="0080704A">
        <w:rPr>
          <w:rFonts w:ascii="Helvetica" w:eastAsia="Times New Roman" w:hAnsi="Helvetica" w:cs="Helvetica"/>
          <w:noProof/>
          <w:color w:val="383838"/>
          <w:sz w:val="25"/>
          <w:szCs w:val="25"/>
        </w:rPr>
        <w:t>But that doesn’t mean we can simply give diabetic patients new insulin-producing cells, or replace the dopaminergic neurons that no longer work in those suffering from Parkinson’s disease. For most medical conditions, there’s much more to learn before stem cell therapy delivers on its promise.</w:t>
      </w:r>
    </w:p>
    <w:p w:rsidR="0080704A" w:rsidRPr="0080704A" w:rsidRDefault="0080704A" w:rsidP="0080704A">
      <w:pPr>
        <w:spacing w:before="240" w:after="180" w:line="240" w:lineRule="auto"/>
        <w:textAlignment w:val="baseline"/>
        <w:outlineLvl w:val="1"/>
        <w:rPr>
          <w:rFonts w:ascii="Helvetica" w:eastAsia="Times New Roman" w:hAnsi="Helvetica" w:cs="Helvetica"/>
          <w:b/>
          <w:bCs/>
          <w:noProof/>
          <w:color w:val="383838"/>
          <w:sz w:val="35"/>
          <w:szCs w:val="35"/>
        </w:rPr>
      </w:pPr>
      <w:r w:rsidRPr="0080704A">
        <w:rPr>
          <w:rFonts w:ascii="Helvetica" w:eastAsia="Times New Roman" w:hAnsi="Helvetica" w:cs="Helvetica"/>
          <w:b/>
          <w:bCs/>
          <w:noProof/>
          <w:color w:val="383838"/>
          <w:sz w:val="35"/>
          <w:szCs w:val="35"/>
        </w:rPr>
        <w:t>Hope and exploitation</w:t>
      </w:r>
    </w:p>
    <w:p w:rsidR="0080704A" w:rsidRPr="0080704A" w:rsidRDefault="0080704A" w:rsidP="0080704A">
      <w:pPr>
        <w:spacing w:after="270" w:line="240" w:lineRule="auto"/>
        <w:textAlignment w:val="baseline"/>
        <w:rPr>
          <w:rFonts w:ascii="Helvetica" w:eastAsia="Times New Roman" w:hAnsi="Helvetica" w:cs="Helvetica"/>
          <w:noProof/>
          <w:color w:val="383838"/>
          <w:sz w:val="25"/>
          <w:szCs w:val="25"/>
        </w:rPr>
      </w:pPr>
      <w:r w:rsidRPr="0080704A">
        <w:rPr>
          <w:rFonts w:ascii="Helvetica" w:eastAsia="Times New Roman" w:hAnsi="Helvetica" w:cs="Helvetica"/>
          <w:noProof/>
          <w:color w:val="383838"/>
          <w:sz w:val="25"/>
          <w:szCs w:val="25"/>
        </w:rPr>
        <w:t>Although researchers have made enormous advances in understanding how to turn stem cells into nerve, heart and other cells of the body over the last decade, translating these discoveries into clinically relevant and approved treatments still needs extensive work. Initially, this is done in the laboratory. Then there’s rigorous testing in properly conducted clinical trials. All this takes time – a lot of it.</w:t>
      </w:r>
    </w:p>
    <w:p w:rsidR="0080704A" w:rsidRPr="0080704A" w:rsidRDefault="0080704A" w:rsidP="0080704A">
      <w:pPr>
        <w:spacing w:after="270" w:line="240" w:lineRule="auto"/>
        <w:textAlignment w:val="baseline"/>
        <w:rPr>
          <w:rFonts w:ascii="Helvetica" w:eastAsia="Times New Roman" w:hAnsi="Helvetica" w:cs="Helvetica"/>
          <w:noProof/>
          <w:color w:val="383838"/>
          <w:sz w:val="25"/>
          <w:szCs w:val="25"/>
        </w:rPr>
      </w:pPr>
      <w:r w:rsidRPr="0080704A">
        <w:rPr>
          <w:rFonts w:ascii="Helvetica" w:eastAsia="Times New Roman" w:hAnsi="Helvetica" w:cs="Helvetica"/>
          <w:noProof/>
          <w:color w:val="383838"/>
          <w:sz w:val="25"/>
          <w:szCs w:val="25"/>
        </w:rPr>
        <w:t>The first issue that needs to be addressed is whether the proposed therapy is safe. Given that stem cells have an inherent regenerative capacity, we need to ensure transplanted cells don’t cause harm. Determining this requires careful, long-term monitoring – even when the cells being used are taken from the same person.</w:t>
      </w:r>
    </w:p>
    <w:p w:rsidR="0080704A" w:rsidRPr="0080704A" w:rsidRDefault="0080704A" w:rsidP="0080704A">
      <w:pPr>
        <w:spacing w:after="270" w:line="240" w:lineRule="auto"/>
        <w:textAlignment w:val="baseline"/>
        <w:rPr>
          <w:rFonts w:ascii="Helvetica" w:eastAsia="Times New Roman" w:hAnsi="Helvetica" w:cs="Helvetica"/>
          <w:noProof/>
          <w:color w:val="383838"/>
          <w:sz w:val="25"/>
          <w:szCs w:val="25"/>
        </w:rPr>
      </w:pPr>
      <w:r w:rsidRPr="0080704A">
        <w:rPr>
          <w:rFonts w:ascii="Helvetica" w:eastAsia="Times New Roman" w:hAnsi="Helvetica" w:cs="Helvetica"/>
          <w:noProof/>
          <w:color w:val="383838"/>
          <w:sz w:val="25"/>
          <w:szCs w:val="25"/>
        </w:rPr>
        <w:t>Consider the</w:t>
      </w:r>
      <w:r w:rsidRPr="0080704A">
        <w:rPr>
          <w:rFonts w:ascii="Helvetica" w:eastAsia="Times New Roman" w:hAnsi="Helvetica" w:cs="Helvetica"/>
          <w:noProof/>
          <w:color w:val="383838"/>
          <w:sz w:val="25"/>
        </w:rPr>
        <w:t> </w:t>
      </w:r>
      <w:hyperlink r:id="rId12" w:anchor=".VL743mSUfG-" w:history="1">
        <w:r w:rsidRPr="0080704A">
          <w:rPr>
            <w:rFonts w:ascii="Helvetica" w:eastAsia="Times New Roman" w:hAnsi="Helvetica" w:cs="Helvetica"/>
            <w:b/>
            <w:bCs/>
            <w:noProof/>
            <w:color w:val="557585"/>
            <w:sz w:val="25"/>
            <w:u w:val="single"/>
          </w:rPr>
          <w:t>case of a US woman</w:t>
        </w:r>
      </w:hyperlink>
      <w:r w:rsidRPr="0080704A">
        <w:rPr>
          <w:rFonts w:ascii="Helvetica" w:eastAsia="Times New Roman" w:hAnsi="Helvetica" w:cs="Helvetica"/>
          <w:noProof/>
          <w:color w:val="383838"/>
          <w:sz w:val="25"/>
        </w:rPr>
        <w:t> </w:t>
      </w:r>
      <w:r w:rsidRPr="0080704A">
        <w:rPr>
          <w:rFonts w:ascii="Helvetica" w:eastAsia="Times New Roman" w:hAnsi="Helvetica" w:cs="Helvetica"/>
          <w:noProof/>
          <w:color w:val="383838"/>
          <w:sz w:val="25"/>
          <w:szCs w:val="25"/>
        </w:rPr>
        <w:t>who had (failed) stem cell therapy for paraplegia. She developed a mucus-secreting growth in her spine eight years after participating in a clinical trial where stem cells from her nose were implanted into her spine.</w:t>
      </w:r>
    </w:p>
    <w:p w:rsidR="0080704A" w:rsidRPr="0080704A" w:rsidRDefault="0080704A" w:rsidP="0080704A">
      <w:pPr>
        <w:spacing w:after="270" w:line="240" w:lineRule="auto"/>
        <w:textAlignment w:val="baseline"/>
        <w:rPr>
          <w:rFonts w:ascii="Helvetica" w:eastAsia="Times New Roman" w:hAnsi="Helvetica" w:cs="Helvetica"/>
          <w:noProof/>
          <w:color w:val="383838"/>
          <w:sz w:val="25"/>
          <w:szCs w:val="25"/>
        </w:rPr>
      </w:pPr>
      <w:r w:rsidRPr="0080704A">
        <w:rPr>
          <w:rFonts w:ascii="Helvetica" w:eastAsia="Times New Roman" w:hAnsi="Helvetica" w:cs="Helvetica"/>
          <w:noProof/>
          <w:color w:val="383838"/>
          <w:sz w:val="25"/>
          <w:szCs w:val="25"/>
        </w:rPr>
        <w:t>While fortunately rare, such reports of adverse outcomes highlight how much we still don’t know about these remarkable cells. They also illustrate the need for ongoing due diligence to assess the true possibilities of this new frontier of medical care.</w:t>
      </w:r>
    </w:p>
    <w:p w:rsidR="0080704A" w:rsidRPr="0080704A" w:rsidRDefault="0080704A" w:rsidP="0080704A">
      <w:pPr>
        <w:spacing w:after="270" w:line="240" w:lineRule="auto"/>
        <w:textAlignment w:val="baseline"/>
        <w:rPr>
          <w:rFonts w:ascii="Helvetica" w:eastAsia="Times New Roman" w:hAnsi="Helvetica" w:cs="Helvetica"/>
          <w:noProof/>
          <w:color w:val="383838"/>
          <w:sz w:val="25"/>
          <w:szCs w:val="25"/>
        </w:rPr>
      </w:pPr>
      <w:r w:rsidRPr="0080704A">
        <w:rPr>
          <w:rFonts w:ascii="Helvetica" w:eastAsia="Times New Roman" w:hAnsi="Helvetica" w:cs="Helvetica"/>
          <w:noProof/>
          <w:color w:val="383838"/>
          <w:sz w:val="25"/>
          <w:szCs w:val="25"/>
        </w:rPr>
        <w:t>For those suffering from incurable conditions, the time taken to develop stem cell-based therapies is understandably extremely frustrating. And many are not prepared to wait. These are the people who seek out “stem cell” clinics prepared to treat them now – often for a hefty fee.</w:t>
      </w:r>
    </w:p>
    <w:p w:rsidR="0080704A" w:rsidRPr="0080704A" w:rsidRDefault="0080704A" w:rsidP="0080704A">
      <w:pPr>
        <w:spacing w:after="270" w:line="240" w:lineRule="auto"/>
        <w:textAlignment w:val="baseline"/>
        <w:rPr>
          <w:rFonts w:ascii="Helvetica" w:eastAsia="Times New Roman" w:hAnsi="Helvetica" w:cs="Helvetica"/>
          <w:noProof/>
          <w:color w:val="383838"/>
          <w:sz w:val="25"/>
          <w:szCs w:val="25"/>
        </w:rPr>
      </w:pPr>
      <w:r w:rsidRPr="0080704A">
        <w:rPr>
          <w:rFonts w:ascii="Helvetica" w:eastAsia="Times New Roman" w:hAnsi="Helvetica" w:cs="Helvetica"/>
          <w:noProof/>
          <w:color w:val="383838"/>
          <w:sz w:val="25"/>
          <w:szCs w:val="25"/>
        </w:rPr>
        <w:t>Most such treatment is done abroad and is known as</w:t>
      </w:r>
      <w:r w:rsidRPr="0080704A">
        <w:rPr>
          <w:rFonts w:ascii="Helvetica" w:eastAsia="Times New Roman" w:hAnsi="Helvetica" w:cs="Helvetica"/>
          <w:noProof/>
          <w:color w:val="383838"/>
          <w:sz w:val="25"/>
        </w:rPr>
        <w:t> </w:t>
      </w:r>
      <w:hyperlink r:id="rId13" w:history="1">
        <w:r w:rsidRPr="0080704A">
          <w:rPr>
            <w:rFonts w:ascii="Helvetica" w:eastAsia="Times New Roman" w:hAnsi="Helvetica" w:cs="Helvetica"/>
            <w:b/>
            <w:bCs/>
            <w:noProof/>
            <w:color w:val="557585"/>
            <w:sz w:val="25"/>
            <w:u w:val="single"/>
          </w:rPr>
          <w:t>stem cell tourism</w:t>
        </w:r>
      </w:hyperlink>
      <w:r w:rsidRPr="0080704A">
        <w:rPr>
          <w:rFonts w:ascii="Helvetica" w:eastAsia="Times New Roman" w:hAnsi="Helvetica" w:cs="Helvetica"/>
          <w:noProof/>
          <w:color w:val="383838"/>
          <w:sz w:val="25"/>
          <w:szCs w:val="25"/>
        </w:rPr>
        <w:t>. Indeed, it was initially thought to be limited to countries such as India, China, Mexico and the Bahamas – all jurisdictions with limited regulatory regimes that have little recourse to intervene in the sale of unproven treatments.</w:t>
      </w:r>
    </w:p>
    <w:p w:rsidR="0080704A" w:rsidRPr="0080704A" w:rsidRDefault="0080704A" w:rsidP="0080704A">
      <w:pPr>
        <w:spacing w:after="0" w:line="240" w:lineRule="auto"/>
        <w:textAlignment w:val="baseline"/>
        <w:rPr>
          <w:rFonts w:ascii="Helvetica" w:eastAsia="Times New Roman" w:hAnsi="Helvetica" w:cs="Helvetica"/>
          <w:noProof/>
          <w:color w:val="383838"/>
          <w:sz w:val="17"/>
        </w:rPr>
      </w:pPr>
      <w:r w:rsidRPr="0080704A">
        <w:rPr>
          <w:rFonts w:ascii="Helvetica" w:eastAsia="Times New Roman" w:hAnsi="Helvetica" w:cs="Helvetica"/>
          <w:noProof/>
          <w:color w:val="383838"/>
          <w:sz w:val="25"/>
          <w:szCs w:val="25"/>
        </w:rPr>
        <w:lastRenderedPageBreak/>
        <w:drawing>
          <wp:inline distT="0" distB="0" distL="0" distR="0">
            <wp:extent cx="4636832" cy="3838575"/>
            <wp:effectExtent l="19050" t="0" r="0" b="0"/>
            <wp:docPr id="5" name="Picture 5" descr="https://62e528761d0685343e1c-f3d1b99a743ffa4142d9d7f1978d9686.ssl.cf2.rackcdn.com/files/69592/width668/image-20150121-29746-aqs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62e528761d0685343e1c-f3d1b99a743ffa4142d9d7f1978d9686.ssl.cf2.rackcdn.com/files/69592/width668/image-20150121-29746-aqs389.jpg"/>
                    <pic:cNvPicPr>
                      <a:picLocks noChangeAspect="1" noChangeArrowheads="1"/>
                    </pic:cNvPicPr>
                  </pic:nvPicPr>
                  <pic:blipFill>
                    <a:blip r:embed="rId14"/>
                    <a:srcRect/>
                    <a:stretch>
                      <a:fillRect/>
                    </a:stretch>
                  </pic:blipFill>
                  <pic:spPr bwMode="auto">
                    <a:xfrm>
                      <a:off x="0" y="0"/>
                      <a:ext cx="4636832" cy="3838575"/>
                    </a:xfrm>
                    <a:prstGeom prst="rect">
                      <a:avLst/>
                    </a:prstGeom>
                    <a:noFill/>
                    <a:ln w="9525">
                      <a:noFill/>
                      <a:miter lim="800000"/>
                      <a:headEnd/>
                      <a:tailEnd/>
                    </a:ln>
                  </pic:spPr>
                </pic:pic>
              </a:graphicData>
            </a:graphic>
          </wp:inline>
        </w:drawing>
      </w:r>
    </w:p>
    <w:p w:rsidR="0080704A" w:rsidRPr="0080704A" w:rsidRDefault="0080704A" w:rsidP="0080704A">
      <w:pPr>
        <w:spacing w:after="0" w:line="240" w:lineRule="auto"/>
        <w:textAlignment w:val="baseline"/>
        <w:rPr>
          <w:rFonts w:ascii="Helvetica" w:eastAsia="Times New Roman" w:hAnsi="Helvetica" w:cs="Helvetica"/>
          <w:noProof/>
          <w:color w:val="383838"/>
          <w:sz w:val="17"/>
        </w:rPr>
      </w:pPr>
      <w:r w:rsidRPr="0080704A">
        <w:rPr>
          <w:rFonts w:ascii="Helvetica" w:eastAsia="Times New Roman" w:hAnsi="Helvetica" w:cs="Helvetica"/>
          <w:noProof/>
          <w:color w:val="383838"/>
          <w:sz w:val="17"/>
        </w:rPr>
        <w:t>Stem cell tourism is no longer limited to countries like China, India and Mexico</w:t>
      </w:r>
    </w:p>
    <w:p w:rsidR="0080704A" w:rsidRPr="0080704A" w:rsidRDefault="0080704A" w:rsidP="0080704A">
      <w:pPr>
        <w:spacing w:after="0" w:line="240" w:lineRule="auto"/>
        <w:textAlignment w:val="baseline"/>
        <w:rPr>
          <w:rFonts w:ascii="Helvetica" w:eastAsia="Times New Roman" w:hAnsi="Helvetica" w:cs="Helvetica"/>
          <w:noProof/>
          <w:color w:val="383838"/>
          <w:sz w:val="25"/>
          <w:szCs w:val="25"/>
        </w:rPr>
      </w:pPr>
    </w:p>
    <w:p w:rsidR="0080704A" w:rsidRPr="0080704A" w:rsidRDefault="0080704A" w:rsidP="0080704A">
      <w:pPr>
        <w:spacing w:after="270" w:line="240" w:lineRule="auto"/>
        <w:textAlignment w:val="baseline"/>
        <w:rPr>
          <w:rFonts w:ascii="Helvetica" w:eastAsia="Times New Roman" w:hAnsi="Helvetica" w:cs="Helvetica"/>
          <w:noProof/>
          <w:color w:val="383838"/>
          <w:sz w:val="25"/>
          <w:szCs w:val="25"/>
        </w:rPr>
      </w:pPr>
      <w:r w:rsidRPr="0080704A">
        <w:rPr>
          <w:rFonts w:ascii="Helvetica" w:eastAsia="Times New Roman" w:hAnsi="Helvetica" w:cs="Helvetica"/>
          <w:noProof/>
          <w:color w:val="383838"/>
          <w:sz w:val="25"/>
          <w:szCs w:val="25"/>
        </w:rPr>
        <w:t>But over the last couple of years, Australian clinics selling stem cell treatments have begun offering what people seeking unproven treatment used to have to travel abroad to access. Because the treatments are being offered locally, they have an implied legitimacy despite the lack of reputable evidence in their support.</w:t>
      </w:r>
    </w:p>
    <w:p w:rsidR="0080704A" w:rsidRPr="0080704A" w:rsidRDefault="0080704A" w:rsidP="0080704A">
      <w:pPr>
        <w:spacing w:before="240" w:after="180" w:line="240" w:lineRule="auto"/>
        <w:textAlignment w:val="baseline"/>
        <w:outlineLvl w:val="1"/>
        <w:rPr>
          <w:rFonts w:ascii="Helvetica" w:eastAsia="Times New Roman" w:hAnsi="Helvetica" w:cs="Helvetica"/>
          <w:b/>
          <w:bCs/>
          <w:noProof/>
          <w:color w:val="383838"/>
          <w:sz w:val="35"/>
          <w:szCs w:val="35"/>
        </w:rPr>
      </w:pPr>
      <w:r w:rsidRPr="0080704A">
        <w:rPr>
          <w:rFonts w:ascii="Helvetica" w:eastAsia="Times New Roman" w:hAnsi="Helvetica" w:cs="Helvetica"/>
          <w:b/>
          <w:bCs/>
          <w:noProof/>
          <w:color w:val="383838"/>
          <w:sz w:val="35"/>
          <w:szCs w:val="35"/>
        </w:rPr>
        <w:t>A regulatory loophole</w:t>
      </w:r>
    </w:p>
    <w:p w:rsidR="0080704A" w:rsidRPr="0080704A" w:rsidRDefault="0080704A" w:rsidP="0080704A">
      <w:pPr>
        <w:spacing w:after="270" w:line="240" w:lineRule="auto"/>
        <w:textAlignment w:val="baseline"/>
        <w:rPr>
          <w:rFonts w:ascii="Helvetica" w:eastAsia="Times New Roman" w:hAnsi="Helvetica" w:cs="Helvetica"/>
          <w:noProof/>
          <w:color w:val="383838"/>
          <w:sz w:val="25"/>
          <w:szCs w:val="25"/>
        </w:rPr>
      </w:pPr>
      <w:r w:rsidRPr="0080704A">
        <w:rPr>
          <w:rFonts w:ascii="Helvetica" w:eastAsia="Times New Roman" w:hAnsi="Helvetica" w:cs="Helvetica"/>
          <w:noProof/>
          <w:color w:val="383838"/>
          <w:sz w:val="25"/>
          <w:szCs w:val="25"/>
        </w:rPr>
        <w:t>The TGA already imposes</w:t>
      </w:r>
      <w:r w:rsidRPr="0080704A">
        <w:rPr>
          <w:rFonts w:ascii="Helvetica" w:eastAsia="Times New Roman" w:hAnsi="Helvetica" w:cs="Helvetica"/>
          <w:noProof/>
          <w:color w:val="383838"/>
          <w:sz w:val="25"/>
        </w:rPr>
        <w:t> </w:t>
      </w:r>
      <w:hyperlink r:id="rId15" w:history="1">
        <w:r w:rsidRPr="0080704A">
          <w:rPr>
            <w:rFonts w:ascii="Helvetica" w:eastAsia="Times New Roman" w:hAnsi="Helvetica" w:cs="Helvetica"/>
            <w:b/>
            <w:bCs/>
            <w:noProof/>
            <w:color w:val="557585"/>
            <w:sz w:val="25"/>
            <w:u w:val="single"/>
          </w:rPr>
          <w:t>stringent standards</w:t>
        </w:r>
      </w:hyperlink>
      <w:r w:rsidRPr="0080704A">
        <w:rPr>
          <w:rFonts w:ascii="Helvetica" w:eastAsia="Times New Roman" w:hAnsi="Helvetica" w:cs="Helvetica"/>
          <w:noProof/>
          <w:color w:val="383838"/>
          <w:sz w:val="25"/>
        </w:rPr>
        <w:t> </w:t>
      </w:r>
      <w:r w:rsidRPr="0080704A">
        <w:rPr>
          <w:rFonts w:ascii="Helvetica" w:eastAsia="Times New Roman" w:hAnsi="Helvetica" w:cs="Helvetica"/>
          <w:noProof/>
          <w:color w:val="383838"/>
          <w:sz w:val="25"/>
          <w:szCs w:val="25"/>
        </w:rPr>
        <w:t>on the manufacturing of cells for therapy, but these regulations are currently limited to donated cells. The use of the patient’s own cells (no matter how they are produced and given back to the patient) remains broadly unregulated.</w:t>
      </w:r>
    </w:p>
    <w:p w:rsidR="0080704A" w:rsidRPr="0080704A" w:rsidRDefault="0080704A" w:rsidP="0080704A">
      <w:pPr>
        <w:spacing w:after="270" w:line="240" w:lineRule="auto"/>
        <w:textAlignment w:val="baseline"/>
        <w:rPr>
          <w:rFonts w:ascii="Helvetica" w:eastAsia="Times New Roman" w:hAnsi="Helvetica" w:cs="Helvetica"/>
          <w:noProof/>
          <w:color w:val="383838"/>
          <w:sz w:val="25"/>
          <w:szCs w:val="25"/>
        </w:rPr>
      </w:pPr>
      <w:r w:rsidRPr="0080704A">
        <w:rPr>
          <w:rFonts w:ascii="Helvetica" w:eastAsia="Times New Roman" w:hAnsi="Helvetica" w:cs="Helvetica"/>
          <w:noProof/>
          <w:color w:val="383838"/>
          <w:sz w:val="25"/>
          <w:szCs w:val="25"/>
        </w:rPr>
        <w:t>This means that rather than having to collect evidence in a registered trial before they take their product to the clinic, some Australian doctors are selling what is effectively experimental therapy.</w:t>
      </w:r>
    </w:p>
    <w:p w:rsidR="0080704A" w:rsidRPr="0080704A" w:rsidRDefault="0080704A" w:rsidP="0080704A">
      <w:pPr>
        <w:spacing w:after="270" w:line="240" w:lineRule="auto"/>
        <w:textAlignment w:val="baseline"/>
        <w:rPr>
          <w:rFonts w:ascii="Helvetica" w:eastAsia="Times New Roman" w:hAnsi="Helvetica" w:cs="Helvetica"/>
          <w:noProof/>
          <w:color w:val="383838"/>
          <w:sz w:val="25"/>
          <w:szCs w:val="25"/>
        </w:rPr>
      </w:pPr>
      <w:r w:rsidRPr="0080704A">
        <w:rPr>
          <w:rFonts w:ascii="Helvetica" w:eastAsia="Times New Roman" w:hAnsi="Helvetica" w:cs="Helvetica"/>
          <w:noProof/>
          <w:color w:val="383838"/>
          <w:sz w:val="25"/>
          <w:szCs w:val="25"/>
        </w:rPr>
        <w:t>The going rate of around A$10,000 may not seem much to charge for a much-hoped-for improvement. But, in most cases, there’s not only an absence of evidence for benefit, the risks of the therapy are also unknown.</w:t>
      </w:r>
    </w:p>
    <w:p w:rsidR="0080704A" w:rsidRPr="0080704A" w:rsidRDefault="0080704A" w:rsidP="0080704A">
      <w:pPr>
        <w:spacing w:after="270" w:line="240" w:lineRule="auto"/>
        <w:textAlignment w:val="baseline"/>
        <w:rPr>
          <w:rFonts w:ascii="Helvetica" w:eastAsia="Times New Roman" w:hAnsi="Helvetica" w:cs="Helvetica"/>
          <w:noProof/>
          <w:color w:val="383838"/>
          <w:sz w:val="25"/>
          <w:szCs w:val="25"/>
        </w:rPr>
      </w:pPr>
      <w:r w:rsidRPr="0080704A">
        <w:rPr>
          <w:rFonts w:ascii="Helvetica" w:eastAsia="Times New Roman" w:hAnsi="Helvetica" w:cs="Helvetica"/>
          <w:noProof/>
          <w:color w:val="383838"/>
          <w:sz w:val="25"/>
          <w:szCs w:val="25"/>
        </w:rPr>
        <w:t xml:space="preserve">Typically, crude cell preparations taken from fat and from blood are being injected into joints, and also back into veins, for conditions ranging from multiple sclerosis </w:t>
      </w:r>
      <w:r w:rsidRPr="0080704A">
        <w:rPr>
          <w:rFonts w:ascii="Helvetica" w:eastAsia="Times New Roman" w:hAnsi="Helvetica" w:cs="Helvetica"/>
          <w:noProof/>
          <w:color w:val="383838"/>
          <w:sz w:val="25"/>
          <w:szCs w:val="25"/>
        </w:rPr>
        <w:lastRenderedPageBreak/>
        <w:t>and Parkinson’s disease to arthritis. And treatment is often part of a fly-in-fly-out procedure by doctors who may not be recognised experts in the disease.</w:t>
      </w:r>
    </w:p>
    <w:p w:rsidR="0080704A" w:rsidRPr="0080704A" w:rsidRDefault="0080704A" w:rsidP="0080704A">
      <w:pPr>
        <w:spacing w:after="270" w:line="240" w:lineRule="auto"/>
        <w:textAlignment w:val="baseline"/>
        <w:rPr>
          <w:rFonts w:ascii="Helvetica" w:eastAsia="Times New Roman" w:hAnsi="Helvetica" w:cs="Helvetica"/>
          <w:noProof/>
          <w:color w:val="383838"/>
          <w:sz w:val="25"/>
          <w:szCs w:val="25"/>
        </w:rPr>
      </w:pPr>
      <w:r w:rsidRPr="0080704A">
        <w:rPr>
          <w:rFonts w:ascii="Helvetica" w:eastAsia="Times New Roman" w:hAnsi="Helvetica" w:cs="Helvetica"/>
          <w:noProof/>
          <w:color w:val="383838"/>
          <w:sz w:val="25"/>
          <w:szCs w:val="25"/>
        </w:rPr>
        <w:t>The possibility of infection, inappropriate cell growth or much more serious complications, such as pulmonary embolism – where the cells are trapped in the lung and block blood supply – are very real.</w:t>
      </w:r>
    </w:p>
    <w:p w:rsidR="0080704A" w:rsidRPr="0080704A" w:rsidRDefault="0080704A" w:rsidP="0080704A">
      <w:pPr>
        <w:spacing w:after="270" w:line="240" w:lineRule="auto"/>
        <w:textAlignment w:val="baseline"/>
        <w:rPr>
          <w:rFonts w:ascii="Helvetica" w:eastAsia="Times New Roman" w:hAnsi="Helvetica" w:cs="Helvetica"/>
          <w:noProof/>
          <w:color w:val="383838"/>
          <w:sz w:val="25"/>
          <w:szCs w:val="25"/>
        </w:rPr>
      </w:pPr>
      <w:r w:rsidRPr="0080704A">
        <w:rPr>
          <w:rFonts w:ascii="Helvetica" w:eastAsia="Times New Roman" w:hAnsi="Helvetica" w:cs="Helvetica"/>
          <w:noProof/>
          <w:color w:val="383838"/>
          <w:sz w:val="25"/>
          <w:szCs w:val="25"/>
        </w:rPr>
        <w:t>What’s more, there’s often no provision for long-term follow-up, which means potential adverse effects can be overlooked. The long-term impact of the treatment on the course of the disease is never documented.</w:t>
      </w:r>
    </w:p>
    <w:p w:rsidR="0080704A" w:rsidRPr="0080704A" w:rsidRDefault="0080704A" w:rsidP="0080704A">
      <w:pPr>
        <w:spacing w:after="270" w:line="240" w:lineRule="auto"/>
        <w:textAlignment w:val="baseline"/>
        <w:rPr>
          <w:rFonts w:ascii="Helvetica" w:eastAsia="Times New Roman" w:hAnsi="Helvetica" w:cs="Helvetica"/>
          <w:noProof/>
          <w:color w:val="383838"/>
          <w:sz w:val="25"/>
          <w:szCs w:val="25"/>
        </w:rPr>
      </w:pPr>
      <w:r w:rsidRPr="0080704A">
        <w:rPr>
          <w:rFonts w:ascii="Helvetica" w:eastAsia="Times New Roman" w:hAnsi="Helvetica" w:cs="Helvetica"/>
          <w:noProof/>
          <w:color w:val="383838"/>
          <w:sz w:val="25"/>
          <w:szCs w:val="25"/>
        </w:rPr>
        <w:t>Stem cell science is a new and exciting area of medicine, but enthusiasm and hope need to be tempered with reliable evidence. Providing unproven treatments outside the normal regulatory and clinical trial framework has the potential to undermine public confidence in this field and obstruct the development of new therapies with real benefits.</w:t>
      </w:r>
    </w:p>
    <w:p w:rsidR="0080704A" w:rsidRPr="0080704A" w:rsidRDefault="0080704A" w:rsidP="0080704A">
      <w:pPr>
        <w:spacing w:line="240" w:lineRule="auto"/>
        <w:textAlignment w:val="baseline"/>
        <w:rPr>
          <w:rFonts w:ascii="Helvetica" w:eastAsia="Times New Roman" w:hAnsi="Helvetica" w:cs="Helvetica"/>
          <w:noProof/>
          <w:color w:val="383838"/>
          <w:sz w:val="25"/>
          <w:szCs w:val="25"/>
        </w:rPr>
      </w:pPr>
      <w:r w:rsidRPr="0080704A">
        <w:rPr>
          <w:rFonts w:ascii="Helvetica" w:eastAsia="Times New Roman" w:hAnsi="Helvetica" w:cs="Helvetica"/>
          <w:noProof/>
          <w:color w:val="383838"/>
          <w:sz w:val="25"/>
          <w:szCs w:val="25"/>
        </w:rPr>
        <w:t>As outlined in the TGA discussion paper launched with the announcement of the consultation, several straightforward modifications to current Australian regulations could curb the worst of these practices. And avoid putting patients and, indeed the sector, at an unacceptable risk.</w:t>
      </w:r>
    </w:p>
    <w:p w:rsidR="00BB7199" w:rsidRPr="0080704A" w:rsidRDefault="00BB7199">
      <w:pPr>
        <w:rPr>
          <w:noProof/>
        </w:rPr>
      </w:pPr>
    </w:p>
    <w:sectPr w:rsidR="00BB7199" w:rsidRPr="0080704A" w:rsidSect="005B62D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82E42"/>
    <w:multiLevelType w:val="multilevel"/>
    <w:tmpl w:val="CBD6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804A7F"/>
    <w:multiLevelType w:val="multilevel"/>
    <w:tmpl w:val="5E1CE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hhqMIb36zp5vYbCqRHMcfiVC2Tc=" w:salt="tfm1RW+fTDbG2XYUkhgU5g=="/>
  <w:defaultTabStop w:val="720"/>
  <w:characterSpacingControl w:val="doNotCompress"/>
  <w:compat>
    <w:useFELayout/>
  </w:compat>
  <w:rsids>
    <w:rsidRoot w:val="0080704A"/>
    <w:rsid w:val="003A6931"/>
    <w:rsid w:val="005B62DE"/>
    <w:rsid w:val="0080704A"/>
    <w:rsid w:val="00860E5C"/>
    <w:rsid w:val="00BB71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2DE"/>
  </w:style>
  <w:style w:type="paragraph" w:styleId="Heading1">
    <w:name w:val="heading 1"/>
    <w:basedOn w:val="Normal"/>
    <w:link w:val="Heading1Char"/>
    <w:uiPriority w:val="9"/>
    <w:qFormat/>
    <w:rsid w:val="008070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070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070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070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4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0704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0704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0704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0704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704A"/>
    <w:rPr>
      <w:color w:val="0000FF"/>
      <w:u w:val="single"/>
    </w:rPr>
  </w:style>
  <w:style w:type="character" w:customStyle="1" w:styleId="role">
    <w:name w:val="role"/>
    <w:basedOn w:val="DefaultParagraphFont"/>
    <w:rsid w:val="0080704A"/>
  </w:style>
  <w:style w:type="paragraph" w:customStyle="1" w:styleId="disclosure-logo">
    <w:name w:val="disclosure-logo"/>
    <w:basedOn w:val="Normal"/>
    <w:rsid w:val="00807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0704A"/>
  </w:style>
  <w:style w:type="character" w:customStyle="1" w:styleId="name">
    <w:name w:val="name"/>
    <w:basedOn w:val="DefaultParagraphFont"/>
    <w:rsid w:val="0080704A"/>
  </w:style>
  <w:style w:type="character" w:customStyle="1" w:styleId="location">
    <w:name w:val="location"/>
    <w:basedOn w:val="DefaultParagraphFont"/>
    <w:rsid w:val="0080704A"/>
  </w:style>
  <w:style w:type="character" w:customStyle="1" w:styleId="action">
    <w:name w:val="action"/>
    <w:basedOn w:val="DefaultParagraphFont"/>
    <w:rsid w:val="0080704A"/>
  </w:style>
  <w:style w:type="character" w:customStyle="1" w:styleId="attribution">
    <w:name w:val="attribution"/>
    <w:basedOn w:val="DefaultParagraphFont"/>
    <w:rsid w:val="0080704A"/>
  </w:style>
  <w:style w:type="character" w:customStyle="1" w:styleId="Caption1">
    <w:name w:val="Caption1"/>
    <w:basedOn w:val="DefaultParagraphFont"/>
    <w:rsid w:val="0080704A"/>
  </w:style>
  <w:style w:type="paragraph" w:styleId="BalloonText">
    <w:name w:val="Balloon Text"/>
    <w:basedOn w:val="Normal"/>
    <w:link w:val="BalloonTextChar"/>
    <w:uiPriority w:val="99"/>
    <w:semiHidden/>
    <w:unhideWhenUsed/>
    <w:rsid w:val="00807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0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6441793">
      <w:bodyDiv w:val="1"/>
      <w:marLeft w:val="0"/>
      <w:marRight w:val="0"/>
      <w:marTop w:val="0"/>
      <w:marBottom w:val="0"/>
      <w:divBdr>
        <w:top w:val="none" w:sz="0" w:space="0" w:color="auto"/>
        <w:left w:val="none" w:sz="0" w:space="0" w:color="auto"/>
        <w:bottom w:val="none" w:sz="0" w:space="0" w:color="auto"/>
        <w:right w:val="none" w:sz="0" w:space="0" w:color="auto"/>
      </w:divBdr>
      <w:divsChild>
        <w:div w:id="135804769">
          <w:marLeft w:val="0"/>
          <w:marRight w:val="0"/>
          <w:marTop w:val="0"/>
          <w:marBottom w:val="0"/>
          <w:divBdr>
            <w:top w:val="none" w:sz="0" w:space="0" w:color="auto"/>
            <w:left w:val="none" w:sz="0" w:space="0" w:color="auto"/>
            <w:bottom w:val="none" w:sz="0" w:space="0" w:color="auto"/>
            <w:right w:val="none" w:sz="0" w:space="0" w:color="auto"/>
          </w:divBdr>
          <w:divsChild>
            <w:div w:id="1980261910">
              <w:marLeft w:val="0"/>
              <w:marRight w:val="300"/>
              <w:marTop w:val="0"/>
              <w:marBottom w:val="0"/>
              <w:divBdr>
                <w:top w:val="none" w:sz="0" w:space="0" w:color="auto"/>
                <w:left w:val="none" w:sz="0" w:space="0" w:color="auto"/>
                <w:bottom w:val="none" w:sz="0" w:space="0" w:color="auto"/>
                <w:right w:val="none" w:sz="0" w:space="0" w:color="auto"/>
              </w:divBdr>
              <w:divsChild>
                <w:div w:id="1074814282">
                  <w:marLeft w:val="0"/>
                  <w:marRight w:val="0"/>
                  <w:marTop w:val="0"/>
                  <w:marBottom w:val="0"/>
                  <w:divBdr>
                    <w:top w:val="none" w:sz="0" w:space="0" w:color="auto"/>
                    <w:left w:val="none" w:sz="0" w:space="0" w:color="auto"/>
                    <w:bottom w:val="none" w:sz="0" w:space="0" w:color="auto"/>
                    <w:right w:val="none" w:sz="0" w:space="0" w:color="auto"/>
                  </w:divBdr>
                  <w:divsChild>
                    <w:div w:id="989138039">
                      <w:marLeft w:val="0"/>
                      <w:marRight w:val="300"/>
                      <w:marTop w:val="270"/>
                      <w:marBottom w:val="5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heconversation.com/stem-cell-tourism-exploits-people-by-marketing-hope-29146" TargetMode="External"/><Relationship Id="rId3" Type="http://schemas.openxmlformats.org/officeDocument/2006/relationships/settings" Target="settings.xml"/><Relationship Id="rId7" Type="http://schemas.openxmlformats.org/officeDocument/2006/relationships/hyperlink" Target="http://theconversation.com/profiles/martin-pera-14428" TargetMode="External"/><Relationship Id="rId12" Type="http://schemas.openxmlformats.org/officeDocument/2006/relationships/hyperlink" Target="http://www.newscientist.com/article/mg22329772.600-stem-cell-treatment-causes-nasal-growth-in-womans-back.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tga.gov.au/consultation/consultation-regulation-autologous-stem-cell-therapies-discussion-paper-consultation" TargetMode="External"/><Relationship Id="rId5" Type="http://schemas.openxmlformats.org/officeDocument/2006/relationships/hyperlink" Target="http://theconversation.com/profiles/megan-munsie-756" TargetMode="External"/><Relationship Id="rId15" Type="http://schemas.openxmlformats.org/officeDocument/2006/relationships/hyperlink" Target="https://www.tga.gov.au/publication/australian-regulatory-guidelines-biologicals-argb" TargetMode="External"/><Relationship Id="rId10" Type="http://schemas.openxmlformats.org/officeDocument/2006/relationships/hyperlink" Target="http://www.ncbi.nlm.nih.gov/pubmed/25457959"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941</Words>
  <Characters>5367</Characters>
  <Application>Microsoft Office Word</Application>
  <DocSecurity>8</DocSecurity>
  <Lines>44</Lines>
  <Paragraphs>12</Paragraphs>
  <ScaleCrop>false</ScaleCrop>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2015-01-23T01:58:00Z</dcterms:created>
  <dcterms:modified xsi:type="dcterms:W3CDTF">2015-02-04T08:39:00Z</dcterms:modified>
</cp:coreProperties>
</file>